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adjustRightInd w:val="0"/>
        <w:spacing w:before="0" w:after="0" w:line="360" w:lineRule="auto"/>
        <w:jc w:val="center"/>
        <w:rPr>
          <w:rFonts w:hint="eastAsia" w:ascii="微软雅黑" w:hAnsi="微软雅黑" w:eastAsia="微软雅黑" w:cs="楷体"/>
          <w:szCs w:val="24"/>
        </w:rPr>
      </w:pPr>
      <w:r>
        <w:rPr>
          <w:rFonts w:hint="eastAsia" w:ascii="微软雅黑" w:hAnsi="微软雅黑" w:eastAsia="微软雅黑" w:cs="楷体"/>
          <w:szCs w:val="24"/>
        </w:rPr>
        <w:t>关键岗位轮岗制度</w:t>
      </w:r>
    </w:p>
    <w:p>
      <w:pPr>
        <w:pStyle w:val="13"/>
        <w:keepNext w:val="0"/>
        <w:keepLines w:val="0"/>
        <w:pageBreakBefore w:val="0"/>
        <w:widowControl w:val="0"/>
        <w:kinsoku/>
        <w:wordWrap/>
        <w:overflowPunct/>
        <w:topLinePunct w:val="0"/>
        <w:autoSpaceDE/>
        <w:autoSpaceDN/>
        <w:bidi w:val="0"/>
        <w:adjustRightInd w:val="0"/>
        <w:snapToGrid w:val="0"/>
        <w:ind w:firstLine="0" w:firstLineChars="0"/>
        <w:jc w:val="center"/>
        <w:rPr>
          <w:rFonts w:hint="eastAsia" w:ascii="华文仿宋" w:hAnsi="华文仿宋" w:eastAsia="华文仿宋" w:cs="华文仿宋"/>
          <w:b/>
          <w:bCs/>
          <w:kern w:val="44"/>
          <w:sz w:val="28"/>
          <w:szCs w:val="28"/>
        </w:rPr>
      </w:pPr>
      <w:r>
        <w:rPr>
          <w:rFonts w:hint="eastAsia" w:ascii="华文仿宋" w:hAnsi="华文仿宋" w:eastAsia="华文仿宋" w:cs="华文仿宋"/>
          <w:b/>
          <w:bCs/>
          <w:kern w:val="44"/>
          <w:sz w:val="28"/>
          <w:szCs w:val="28"/>
        </w:rPr>
        <w:t>第一章 总 则</w:t>
      </w:r>
    </w:p>
    <w:p>
      <w:pPr>
        <w:pStyle w:val="13"/>
        <w:keepNext w:val="0"/>
        <w:keepLines w:val="0"/>
        <w:pageBreakBefore w:val="0"/>
        <w:widowControl w:val="0"/>
        <w:kinsoku/>
        <w:wordWrap/>
        <w:overflowPunct/>
        <w:topLinePunct w:val="0"/>
        <w:autoSpaceDE/>
        <w:autoSpaceDN/>
        <w:bidi w:val="0"/>
        <w:adjustRightInd w:val="0"/>
        <w:snapToGrid w:val="0"/>
        <w:ind w:firstLine="562"/>
        <w:rPr>
          <w:rFonts w:hint="eastAsia" w:ascii="华文仿宋" w:hAnsi="华文仿宋" w:eastAsia="华文仿宋" w:cs="华文仿宋"/>
          <w:sz w:val="28"/>
          <w:szCs w:val="28"/>
        </w:rPr>
      </w:pPr>
      <w:r>
        <w:rPr>
          <w:rFonts w:hint="eastAsia" w:ascii="华文仿宋" w:hAnsi="华文仿宋" w:eastAsia="华文仿宋" w:cs="华文仿宋"/>
          <w:b/>
          <w:bCs/>
          <w:sz w:val="28"/>
          <w:szCs w:val="28"/>
        </w:rPr>
        <w:t>第一条</w:t>
      </w:r>
      <w:r>
        <w:rPr>
          <w:rFonts w:hint="eastAsia" w:ascii="华文仿宋" w:hAnsi="华文仿宋" w:eastAsia="华文仿宋" w:cs="华文仿宋"/>
          <w:sz w:val="28"/>
          <w:szCs w:val="28"/>
        </w:rPr>
        <w:t xml:space="preserve"> 为加强内部控制，防范操作风险和道德风险，特制定本办法。</w:t>
      </w:r>
    </w:p>
    <w:p>
      <w:pPr>
        <w:pStyle w:val="13"/>
        <w:keepNext w:val="0"/>
        <w:keepLines w:val="0"/>
        <w:pageBreakBefore w:val="0"/>
        <w:widowControl w:val="0"/>
        <w:kinsoku/>
        <w:wordWrap/>
        <w:overflowPunct/>
        <w:topLinePunct w:val="0"/>
        <w:autoSpaceDE/>
        <w:autoSpaceDN/>
        <w:bidi w:val="0"/>
        <w:adjustRightInd w:val="0"/>
        <w:snapToGrid w:val="0"/>
        <w:ind w:firstLine="562"/>
        <w:rPr>
          <w:rFonts w:hint="eastAsia" w:ascii="华文仿宋" w:hAnsi="华文仿宋" w:eastAsia="华文仿宋" w:cs="华文仿宋"/>
          <w:sz w:val="28"/>
          <w:szCs w:val="28"/>
        </w:rPr>
      </w:pPr>
      <w:r>
        <w:rPr>
          <w:rFonts w:hint="eastAsia" w:ascii="华文仿宋" w:hAnsi="华文仿宋" w:eastAsia="华文仿宋" w:cs="华文仿宋"/>
          <w:b/>
          <w:bCs/>
          <w:sz w:val="28"/>
          <w:szCs w:val="28"/>
        </w:rPr>
        <w:t>第二条</w:t>
      </w:r>
      <w:r>
        <w:rPr>
          <w:rFonts w:hint="eastAsia" w:ascii="华文仿宋" w:hAnsi="华文仿宋" w:eastAsia="华文仿宋" w:cs="华文仿宋"/>
          <w:sz w:val="28"/>
          <w:szCs w:val="28"/>
        </w:rPr>
        <w:t xml:space="preserve"> 本办法适用于单位各</w:t>
      </w:r>
      <w:r>
        <w:rPr>
          <w:rFonts w:hint="eastAsia" w:ascii="华文仿宋" w:hAnsi="华文仿宋" w:eastAsia="华文仿宋" w:cs="华文仿宋"/>
          <w:sz w:val="28"/>
          <w:szCs w:val="28"/>
          <w:lang w:val="en-US" w:eastAsia="zh-CN"/>
        </w:rPr>
        <w:t>部门</w:t>
      </w:r>
      <w:bookmarkStart w:id="0" w:name="_GoBack"/>
      <w:bookmarkEnd w:id="0"/>
      <w:r>
        <w:rPr>
          <w:rFonts w:hint="eastAsia" w:ascii="华文仿宋" w:hAnsi="华文仿宋" w:eastAsia="华文仿宋" w:cs="华文仿宋"/>
          <w:sz w:val="28"/>
          <w:szCs w:val="28"/>
        </w:rPr>
        <w:t>。</w:t>
      </w:r>
    </w:p>
    <w:p>
      <w:pPr>
        <w:pStyle w:val="13"/>
        <w:keepNext w:val="0"/>
        <w:keepLines w:val="0"/>
        <w:pageBreakBefore w:val="0"/>
        <w:widowControl w:val="0"/>
        <w:kinsoku/>
        <w:wordWrap/>
        <w:overflowPunct/>
        <w:topLinePunct w:val="0"/>
        <w:autoSpaceDE/>
        <w:autoSpaceDN/>
        <w:bidi w:val="0"/>
        <w:adjustRightInd w:val="0"/>
        <w:snapToGrid w:val="0"/>
        <w:ind w:firstLine="562"/>
        <w:rPr>
          <w:rFonts w:hint="eastAsia" w:ascii="华文仿宋" w:hAnsi="华文仿宋" w:eastAsia="华文仿宋" w:cs="华文仿宋"/>
          <w:sz w:val="28"/>
          <w:szCs w:val="28"/>
        </w:rPr>
      </w:pPr>
      <w:r>
        <w:rPr>
          <w:rFonts w:hint="eastAsia" w:ascii="华文仿宋" w:hAnsi="华文仿宋" w:eastAsia="华文仿宋" w:cs="华文仿宋"/>
          <w:b/>
          <w:bCs/>
          <w:sz w:val="28"/>
          <w:szCs w:val="28"/>
        </w:rPr>
        <w:t>第三条</w:t>
      </w:r>
      <w:r>
        <w:rPr>
          <w:rFonts w:hint="eastAsia" w:ascii="华文仿宋" w:hAnsi="华文仿宋" w:eastAsia="华文仿宋" w:cs="华文仿宋"/>
          <w:sz w:val="28"/>
          <w:szCs w:val="28"/>
        </w:rPr>
        <w:t xml:space="preserve"> 本办法所称关键岗位是指在业务工作和经济活动开展过程中处于关键环节且涉及风险控制点，承担较高风险责任，根据有关规定应当进行重点管理和监督的工作岗位。关键岗位依据岗位职责、业务处理权限、业务流程环节、发生风险概率和可能发生的损失等因素认定。</w:t>
      </w:r>
    </w:p>
    <w:p>
      <w:pPr>
        <w:pStyle w:val="11"/>
        <w:keepNext w:val="0"/>
        <w:keepLines w:val="0"/>
        <w:pageBreakBefore w:val="0"/>
        <w:widowControl w:val="0"/>
        <w:kinsoku/>
        <w:wordWrap/>
        <w:overflowPunct/>
        <w:topLinePunct w:val="0"/>
        <w:autoSpaceDE/>
        <w:autoSpaceDN/>
        <w:bidi w:val="0"/>
        <w:adjustRightInd w:val="0"/>
        <w:snapToGrid w:val="0"/>
        <w:ind w:firstLine="560"/>
        <w:rPr>
          <w:rFonts w:hint="eastAsia" w:ascii="华文仿宋" w:hAnsi="华文仿宋" w:eastAsia="华文仿宋" w:cs="华文仿宋"/>
          <w:sz w:val="28"/>
          <w:szCs w:val="28"/>
        </w:rPr>
      </w:pPr>
      <w:r>
        <w:rPr>
          <w:rFonts w:hint="eastAsia" w:ascii="华文仿宋" w:hAnsi="华文仿宋" w:eastAsia="华文仿宋" w:cs="华文仿宋"/>
          <w:sz w:val="28"/>
          <w:szCs w:val="28"/>
        </w:rPr>
        <w:t>岗位轮换是指根据风险控制工作需要，有计划地安排关键岗位工作人员定期或不定期调换工作岗位的一种制度安排。</w:t>
      </w:r>
    </w:p>
    <w:p>
      <w:pPr>
        <w:pStyle w:val="13"/>
        <w:keepNext w:val="0"/>
        <w:keepLines w:val="0"/>
        <w:pageBreakBefore w:val="0"/>
        <w:widowControl w:val="0"/>
        <w:kinsoku/>
        <w:wordWrap/>
        <w:overflowPunct/>
        <w:topLinePunct w:val="0"/>
        <w:autoSpaceDE/>
        <w:autoSpaceDN/>
        <w:bidi w:val="0"/>
        <w:adjustRightInd w:val="0"/>
        <w:snapToGrid w:val="0"/>
        <w:ind w:firstLine="562"/>
        <w:rPr>
          <w:rFonts w:hint="eastAsia" w:ascii="华文仿宋" w:hAnsi="华文仿宋" w:eastAsia="华文仿宋" w:cs="华文仿宋"/>
          <w:sz w:val="28"/>
          <w:szCs w:val="28"/>
        </w:rPr>
      </w:pPr>
      <w:r>
        <w:rPr>
          <w:rFonts w:hint="eastAsia" w:ascii="华文仿宋" w:hAnsi="华文仿宋" w:eastAsia="华文仿宋" w:cs="华文仿宋"/>
          <w:b/>
          <w:bCs/>
          <w:sz w:val="28"/>
          <w:szCs w:val="28"/>
        </w:rPr>
        <w:t>第四条</w:t>
      </w:r>
      <w:r>
        <w:rPr>
          <w:rFonts w:hint="eastAsia" w:ascii="华文仿宋" w:hAnsi="华文仿宋" w:eastAsia="华文仿宋" w:cs="华文仿宋"/>
          <w:sz w:val="28"/>
          <w:szCs w:val="28"/>
        </w:rPr>
        <w:t xml:space="preserve"> 岗位轮换和强制休假工作遵循“集中管理、分级负责，统筹规划、分步实施，加强监督、落实责任”的原则。</w:t>
      </w:r>
    </w:p>
    <w:p>
      <w:pPr>
        <w:pStyle w:val="13"/>
        <w:keepNext w:val="0"/>
        <w:keepLines w:val="0"/>
        <w:pageBreakBefore w:val="0"/>
        <w:widowControl w:val="0"/>
        <w:kinsoku/>
        <w:wordWrap/>
        <w:overflowPunct/>
        <w:topLinePunct w:val="0"/>
        <w:autoSpaceDE/>
        <w:autoSpaceDN/>
        <w:bidi w:val="0"/>
        <w:adjustRightInd w:val="0"/>
        <w:snapToGrid w:val="0"/>
        <w:ind w:firstLine="0" w:firstLineChars="0"/>
        <w:jc w:val="center"/>
        <w:rPr>
          <w:rFonts w:hint="eastAsia" w:ascii="华文仿宋" w:hAnsi="华文仿宋" w:eastAsia="华文仿宋" w:cs="华文仿宋"/>
          <w:b/>
          <w:bCs/>
          <w:kern w:val="44"/>
          <w:sz w:val="28"/>
          <w:szCs w:val="28"/>
        </w:rPr>
      </w:pPr>
      <w:r>
        <w:rPr>
          <w:rFonts w:hint="eastAsia" w:ascii="华文仿宋" w:hAnsi="华文仿宋" w:eastAsia="华文仿宋" w:cs="华文仿宋"/>
          <w:b/>
          <w:bCs/>
          <w:kern w:val="44"/>
          <w:sz w:val="28"/>
          <w:szCs w:val="28"/>
        </w:rPr>
        <w:t>第二章 岗位轮换</w:t>
      </w:r>
    </w:p>
    <w:p>
      <w:pPr>
        <w:pStyle w:val="13"/>
        <w:keepNext w:val="0"/>
        <w:keepLines w:val="0"/>
        <w:pageBreakBefore w:val="0"/>
        <w:widowControl w:val="0"/>
        <w:kinsoku/>
        <w:wordWrap/>
        <w:overflowPunct/>
        <w:topLinePunct w:val="0"/>
        <w:autoSpaceDE/>
        <w:autoSpaceDN/>
        <w:bidi w:val="0"/>
        <w:adjustRightInd w:val="0"/>
        <w:snapToGrid w:val="0"/>
        <w:ind w:firstLine="562"/>
        <w:rPr>
          <w:rFonts w:hint="eastAsia" w:ascii="华文仿宋" w:hAnsi="华文仿宋" w:eastAsia="华文仿宋" w:cs="华文仿宋"/>
          <w:sz w:val="28"/>
          <w:szCs w:val="28"/>
        </w:rPr>
      </w:pPr>
      <w:r>
        <w:rPr>
          <w:rFonts w:hint="eastAsia" w:ascii="华文仿宋" w:hAnsi="华文仿宋" w:eastAsia="华文仿宋" w:cs="华文仿宋"/>
          <w:b/>
          <w:bCs/>
          <w:sz w:val="28"/>
          <w:szCs w:val="28"/>
        </w:rPr>
        <w:t>第五条</w:t>
      </w:r>
      <w:r>
        <w:rPr>
          <w:rFonts w:hint="eastAsia" w:ascii="华文仿宋" w:hAnsi="华文仿宋" w:eastAsia="华文仿宋" w:cs="华文仿宋"/>
          <w:sz w:val="28"/>
          <w:szCs w:val="28"/>
        </w:rPr>
        <w:t xml:space="preserve"> 岗位轮换期限</w:t>
      </w:r>
    </w:p>
    <w:p>
      <w:pPr>
        <w:pStyle w:val="11"/>
        <w:keepNext w:val="0"/>
        <w:keepLines w:val="0"/>
        <w:pageBreakBefore w:val="0"/>
        <w:widowControl w:val="0"/>
        <w:kinsoku/>
        <w:wordWrap/>
        <w:overflowPunct/>
        <w:topLinePunct w:val="0"/>
        <w:autoSpaceDE/>
        <w:autoSpaceDN/>
        <w:bidi w:val="0"/>
        <w:adjustRightInd w:val="0"/>
        <w:snapToGrid w:val="0"/>
        <w:ind w:firstLine="560"/>
        <w:rPr>
          <w:rFonts w:hint="eastAsia" w:ascii="华文仿宋" w:hAnsi="华文仿宋" w:eastAsia="华文仿宋" w:cs="华文仿宋"/>
          <w:sz w:val="28"/>
          <w:szCs w:val="28"/>
        </w:rPr>
      </w:pPr>
      <w:r>
        <w:rPr>
          <w:rFonts w:hint="eastAsia" w:ascii="华文仿宋" w:hAnsi="华文仿宋" w:eastAsia="华文仿宋" w:cs="华文仿宋"/>
          <w:sz w:val="28"/>
          <w:szCs w:val="28"/>
        </w:rPr>
        <w:t>（一）定期轮换。关键岗位人员在同一岗位连续工作时间达到轮换期限，须实施岗位轮换。依据岗位承担的风险责任和业务复杂程度等因素，轮换期限分为1年、2年、3年、4年、5年共5个档次。</w:t>
      </w:r>
    </w:p>
    <w:p>
      <w:pPr>
        <w:pStyle w:val="11"/>
        <w:keepNext w:val="0"/>
        <w:keepLines w:val="0"/>
        <w:pageBreakBefore w:val="0"/>
        <w:widowControl w:val="0"/>
        <w:kinsoku/>
        <w:wordWrap/>
        <w:overflowPunct/>
        <w:topLinePunct w:val="0"/>
        <w:autoSpaceDE/>
        <w:autoSpaceDN/>
        <w:bidi w:val="0"/>
        <w:adjustRightInd w:val="0"/>
        <w:snapToGrid w:val="0"/>
        <w:ind w:firstLine="560"/>
        <w:rPr>
          <w:rFonts w:hint="eastAsia" w:ascii="华文仿宋" w:hAnsi="华文仿宋" w:eastAsia="华文仿宋" w:cs="华文仿宋"/>
          <w:sz w:val="28"/>
          <w:szCs w:val="28"/>
        </w:rPr>
      </w:pPr>
      <w:r>
        <w:rPr>
          <w:rFonts w:hint="eastAsia" w:ascii="华文仿宋" w:hAnsi="华文仿宋" w:eastAsia="华文仿宋" w:cs="华文仿宋"/>
          <w:sz w:val="28"/>
          <w:szCs w:val="28"/>
        </w:rPr>
        <w:t>（二）不定期轮换。组织实施机构根据实际工作需要可以不定期地安排关键岗位人员进行岗位轮换。</w:t>
      </w:r>
    </w:p>
    <w:p>
      <w:pPr>
        <w:pStyle w:val="13"/>
        <w:keepNext w:val="0"/>
        <w:keepLines w:val="0"/>
        <w:pageBreakBefore w:val="0"/>
        <w:widowControl w:val="0"/>
        <w:kinsoku/>
        <w:wordWrap/>
        <w:overflowPunct/>
        <w:topLinePunct w:val="0"/>
        <w:autoSpaceDE/>
        <w:autoSpaceDN/>
        <w:bidi w:val="0"/>
        <w:adjustRightInd w:val="0"/>
        <w:snapToGrid w:val="0"/>
        <w:ind w:firstLine="562"/>
        <w:rPr>
          <w:rFonts w:hint="eastAsia" w:ascii="华文仿宋" w:hAnsi="华文仿宋" w:eastAsia="华文仿宋" w:cs="华文仿宋"/>
          <w:sz w:val="28"/>
          <w:szCs w:val="28"/>
        </w:rPr>
      </w:pPr>
      <w:r>
        <w:rPr>
          <w:rFonts w:hint="eastAsia" w:ascii="华文仿宋" w:hAnsi="华文仿宋" w:eastAsia="华文仿宋" w:cs="华文仿宋"/>
          <w:b/>
          <w:bCs/>
          <w:sz w:val="28"/>
          <w:szCs w:val="28"/>
        </w:rPr>
        <w:t>第</w:t>
      </w:r>
      <w:r>
        <w:rPr>
          <w:rFonts w:hint="eastAsia" w:ascii="华文仿宋" w:hAnsi="华文仿宋" w:eastAsia="华文仿宋" w:cs="华文仿宋"/>
          <w:b/>
          <w:bCs/>
          <w:sz w:val="28"/>
          <w:szCs w:val="28"/>
          <w:lang w:eastAsia="zh-CN"/>
        </w:rPr>
        <w:t>六</w:t>
      </w:r>
      <w:r>
        <w:rPr>
          <w:rFonts w:hint="eastAsia" w:ascii="华文仿宋" w:hAnsi="华文仿宋" w:eastAsia="华文仿宋" w:cs="华文仿宋"/>
          <w:b/>
          <w:bCs/>
          <w:sz w:val="28"/>
          <w:szCs w:val="28"/>
        </w:rPr>
        <w:t xml:space="preserve">条 </w:t>
      </w:r>
      <w:r>
        <w:rPr>
          <w:rFonts w:hint="eastAsia" w:ascii="华文仿宋" w:hAnsi="华文仿宋" w:eastAsia="华文仿宋" w:cs="华文仿宋"/>
          <w:sz w:val="28"/>
          <w:szCs w:val="28"/>
        </w:rPr>
        <w:t>实行岗位轮换的人员必须符合拟任岗位的任职资格条件。</w:t>
      </w:r>
    </w:p>
    <w:p>
      <w:pPr>
        <w:pStyle w:val="13"/>
        <w:keepNext w:val="0"/>
        <w:keepLines w:val="0"/>
        <w:pageBreakBefore w:val="0"/>
        <w:widowControl w:val="0"/>
        <w:kinsoku/>
        <w:wordWrap/>
        <w:overflowPunct/>
        <w:topLinePunct w:val="0"/>
        <w:autoSpaceDE/>
        <w:autoSpaceDN/>
        <w:bidi w:val="0"/>
        <w:adjustRightInd w:val="0"/>
        <w:snapToGrid w:val="0"/>
        <w:ind w:firstLine="562"/>
        <w:rPr>
          <w:rFonts w:hint="eastAsia" w:ascii="华文仿宋" w:hAnsi="华文仿宋" w:eastAsia="华文仿宋" w:cs="华文仿宋"/>
          <w:sz w:val="28"/>
          <w:szCs w:val="28"/>
        </w:rPr>
      </w:pPr>
      <w:r>
        <w:rPr>
          <w:rFonts w:hint="eastAsia" w:ascii="华文仿宋" w:hAnsi="华文仿宋" w:eastAsia="华文仿宋" w:cs="华文仿宋"/>
          <w:b/>
          <w:bCs/>
          <w:sz w:val="28"/>
          <w:szCs w:val="28"/>
        </w:rPr>
        <w:t>第</w:t>
      </w:r>
      <w:r>
        <w:rPr>
          <w:rFonts w:hint="eastAsia" w:ascii="华文仿宋" w:hAnsi="华文仿宋" w:eastAsia="华文仿宋" w:cs="华文仿宋"/>
          <w:b/>
          <w:bCs/>
          <w:sz w:val="28"/>
          <w:szCs w:val="28"/>
          <w:lang w:eastAsia="zh-CN"/>
        </w:rPr>
        <w:t>七</w:t>
      </w:r>
      <w:r>
        <w:rPr>
          <w:rFonts w:hint="eastAsia" w:ascii="华文仿宋" w:hAnsi="华文仿宋" w:eastAsia="华文仿宋" w:cs="华文仿宋"/>
          <w:b/>
          <w:bCs/>
          <w:sz w:val="28"/>
          <w:szCs w:val="28"/>
        </w:rPr>
        <w:t>条</w:t>
      </w:r>
      <w:r>
        <w:rPr>
          <w:rFonts w:hint="eastAsia" w:ascii="华文仿宋" w:hAnsi="华文仿宋" w:eastAsia="华文仿宋" w:cs="华文仿宋"/>
          <w:sz w:val="28"/>
          <w:szCs w:val="28"/>
        </w:rPr>
        <w:t xml:space="preserve"> 实行岗位轮换的人员1年内不得回原岗位工作。</w:t>
      </w:r>
    </w:p>
    <w:p>
      <w:pPr>
        <w:pStyle w:val="13"/>
        <w:keepNext w:val="0"/>
        <w:keepLines w:val="0"/>
        <w:pageBreakBefore w:val="0"/>
        <w:widowControl w:val="0"/>
        <w:kinsoku/>
        <w:wordWrap/>
        <w:overflowPunct/>
        <w:topLinePunct w:val="0"/>
        <w:autoSpaceDE/>
        <w:autoSpaceDN/>
        <w:bidi w:val="0"/>
        <w:adjustRightInd w:val="0"/>
        <w:snapToGrid w:val="0"/>
        <w:ind w:firstLine="0" w:firstLineChars="0"/>
        <w:jc w:val="center"/>
        <w:rPr>
          <w:rFonts w:hint="eastAsia" w:ascii="华文仿宋" w:hAnsi="华文仿宋" w:eastAsia="华文仿宋" w:cs="华文仿宋"/>
          <w:b/>
          <w:bCs/>
          <w:kern w:val="44"/>
          <w:sz w:val="28"/>
          <w:szCs w:val="28"/>
        </w:rPr>
      </w:pPr>
      <w:r>
        <w:rPr>
          <w:rFonts w:hint="eastAsia" w:ascii="华文仿宋" w:hAnsi="华文仿宋" w:eastAsia="华文仿宋" w:cs="华文仿宋"/>
          <w:b/>
          <w:bCs/>
          <w:kern w:val="44"/>
          <w:sz w:val="28"/>
          <w:szCs w:val="28"/>
        </w:rPr>
        <w:t>第三章 管理监督</w:t>
      </w:r>
    </w:p>
    <w:p>
      <w:pPr>
        <w:pStyle w:val="13"/>
        <w:keepNext w:val="0"/>
        <w:keepLines w:val="0"/>
        <w:pageBreakBefore w:val="0"/>
        <w:widowControl w:val="0"/>
        <w:kinsoku/>
        <w:wordWrap/>
        <w:overflowPunct/>
        <w:topLinePunct w:val="0"/>
        <w:autoSpaceDE/>
        <w:autoSpaceDN/>
        <w:bidi w:val="0"/>
        <w:adjustRightInd w:val="0"/>
        <w:snapToGrid w:val="0"/>
        <w:ind w:firstLine="562"/>
        <w:rPr>
          <w:rFonts w:hint="eastAsia" w:ascii="华文仿宋" w:hAnsi="华文仿宋" w:eastAsia="华文仿宋" w:cs="华文仿宋"/>
          <w:sz w:val="28"/>
          <w:szCs w:val="28"/>
        </w:rPr>
      </w:pPr>
      <w:r>
        <w:rPr>
          <w:rFonts w:hint="eastAsia" w:ascii="华文仿宋" w:hAnsi="华文仿宋" w:eastAsia="华文仿宋" w:cs="华文仿宋"/>
          <w:b/>
          <w:bCs/>
          <w:sz w:val="28"/>
          <w:szCs w:val="28"/>
        </w:rPr>
        <w:t>第</w:t>
      </w:r>
      <w:r>
        <w:rPr>
          <w:rFonts w:hint="eastAsia" w:ascii="华文仿宋" w:hAnsi="华文仿宋" w:eastAsia="华文仿宋" w:cs="华文仿宋"/>
          <w:b/>
          <w:bCs/>
          <w:sz w:val="28"/>
          <w:szCs w:val="28"/>
          <w:lang w:eastAsia="zh-CN"/>
        </w:rPr>
        <w:t>八</w:t>
      </w:r>
      <w:r>
        <w:rPr>
          <w:rFonts w:hint="eastAsia" w:ascii="华文仿宋" w:hAnsi="华文仿宋" w:eastAsia="华文仿宋" w:cs="华文仿宋"/>
          <w:b/>
          <w:bCs/>
          <w:sz w:val="28"/>
          <w:szCs w:val="28"/>
        </w:rPr>
        <w:t>条</w:t>
      </w:r>
      <w:r>
        <w:rPr>
          <w:rFonts w:hint="eastAsia" w:ascii="华文仿宋" w:hAnsi="华文仿宋" w:eastAsia="华文仿宋" w:cs="华文仿宋"/>
          <w:sz w:val="28"/>
          <w:szCs w:val="28"/>
        </w:rPr>
        <w:t xml:space="preserve"> 对不具备轮岗条件的岗位，应由岗位所在岗位负责人作出说明，经</w:t>
      </w:r>
      <w:r>
        <w:rPr>
          <w:rFonts w:hint="eastAsia" w:ascii="华文仿宋" w:hAnsi="华文仿宋" w:eastAsia="华文仿宋" w:cs="华文仿宋"/>
          <w:sz w:val="28"/>
          <w:szCs w:val="28"/>
          <w:lang w:eastAsia="zh-CN"/>
        </w:rPr>
        <w:t>主要</w:t>
      </w:r>
      <w:r>
        <w:rPr>
          <w:rFonts w:hint="eastAsia" w:ascii="华文仿宋" w:hAnsi="华文仿宋" w:eastAsia="华文仿宋" w:cs="华文仿宋"/>
          <w:sz w:val="28"/>
          <w:szCs w:val="28"/>
        </w:rPr>
        <w:t>领导</w:t>
      </w:r>
      <w:r>
        <w:rPr>
          <w:rFonts w:hint="eastAsia" w:ascii="华文仿宋" w:hAnsi="华文仿宋" w:eastAsia="华文仿宋" w:cs="华文仿宋"/>
          <w:sz w:val="28"/>
          <w:szCs w:val="28"/>
          <w:lang w:eastAsia="zh-CN"/>
        </w:rPr>
        <w:t>审批后</w:t>
      </w:r>
      <w:r>
        <w:rPr>
          <w:rFonts w:hint="eastAsia" w:ascii="华文仿宋" w:hAnsi="华文仿宋" w:eastAsia="华文仿宋" w:cs="华文仿宋"/>
          <w:sz w:val="28"/>
          <w:szCs w:val="28"/>
        </w:rPr>
        <w:t>，由内部审计工作岗位，对该岗位涉及的相关业务，参照轮岗周期，定期进行专项审计。</w:t>
      </w:r>
    </w:p>
    <w:p>
      <w:pPr>
        <w:rPr>
          <w:rFonts w:hint="eastAsia" w:ascii="仿宋_GB2312" w:eastAsia="仿宋_GB2312"/>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Calibri Light">
    <w:panose1 w:val="020F03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1C67"/>
    <w:rsid w:val="00064DB7"/>
    <w:rsid w:val="00176380"/>
    <w:rsid w:val="00241C67"/>
    <w:rsid w:val="005D5843"/>
    <w:rsid w:val="00CD6655"/>
    <w:rsid w:val="0C077364"/>
    <w:rsid w:val="3A5E3339"/>
    <w:rsid w:val="5A0B27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napToGrid w:val="0"/>
      <w:spacing w:line="360" w:lineRule="auto"/>
      <w:jc w:val="both"/>
    </w:pPr>
    <w:rPr>
      <w:rFonts w:ascii="微软雅黑" w:hAnsi="微软雅黑" w:eastAsia="微软雅黑" w:cs="Times New Roman"/>
      <w:kern w:val="2"/>
      <w:sz w:val="24"/>
      <w:szCs w:val="22"/>
      <w:lang w:val="en-US" w:eastAsia="zh-CN" w:bidi="ar-SA"/>
    </w:rPr>
  </w:style>
  <w:style w:type="paragraph" w:styleId="2">
    <w:name w:val="heading 2"/>
    <w:basedOn w:val="1"/>
    <w:next w:val="1"/>
    <w:link w:val="9"/>
    <w:qFormat/>
    <w:uiPriority w:val="9"/>
    <w:pPr>
      <w:keepNext/>
      <w:keepLines/>
      <w:spacing w:before="260" w:after="260" w:line="416" w:lineRule="auto"/>
      <w:outlineLvl w:val="1"/>
    </w:pPr>
    <w:rPr>
      <w:rFonts w:ascii="Calibri Light" w:hAnsi="Calibri Light" w:eastAsia="宋体"/>
      <w:b/>
      <w:bCs/>
      <w:kern w:val="0"/>
      <w:sz w:val="32"/>
      <w:szCs w:val="32"/>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link w:val="8"/>
    <w:unhideWhenUsed/>
    <w:uiPriority w:val="99"/>
    <w:pPr>
      <w:tabs>
        <w:tab w:val="center" w:pos="4153"/>
        <w:tab w:val="right" w:pos="8306"/>
      </w:tabs>
      <w:spacing w:line="240" w:lineRule="auto"/>
      <w:jc w:val="left"/>
    </w:pPr>
    <w:rPr>
      <w:rFonts w:asciiTheme="minorHAnsi" w:hAnsiTheme="minorHAnsi" w:eastAsiaTheme="minorEastAsia" w:cstheme="minorBidi"/>
      <w:sz w:val="18"/>
      <w:szCs w:val="18"/>
    </w:rPr>
  </w:style>
  <w:style w:type="paragraph" w:styleId="4">
    <w:name w:val="header"/>
    <w:basedOn w:val="1"/>
    <w:link w:val="7"/>
    <w:unhideWhenUsed/>
    <w:uiPriority w:val="99"/>
    <w:pPr>
      <w:pBdr>
        <w:bottom w:val="single" w:color="auto" w:sz="6" w:space="1"/>
      </w:pBdr>
      <w:tabs>
        <w:tab w:val="center" w:pos="4153"/>
        <w:tab w:val="right" w:pos="8306"/>
      </w:tabs>
      <w:spacing w:line="240" w:lineRule="auto"/>
      <w:jc w:val="center"/>
    </w:pPr>
    <w:rPr>
      <w:rFonts w:asciiTheme="minorHAnsi" w:hAnsiTheme="minorHAnsi" w:eastAsiaTheme="minorEastAsia" w:cstheme="minorBidi"/>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 w:type="character" w:customStyle="1" w:styleId="9">
    <w:name w:val="标题 2 字符"/>
    <w:basedOn w:val="6"/>
    <w:link w:val="2"/>
    <w:qFormat/>
    <w:uiPriority w:val="9"/>
    <w:rPr>
      <w:rFonts w:ascii="Calibri Light" w:hAnsi="Calibri Light" w:eastAsia="宋体" w:cs="Times New Roman"/>
      <w:b/>
      <w:bCs/>
      <w:kern w:val="0"/>
      <w:sz w:val="32"/>
      <w:szCs w:val="32"/>
    </w:rPr>
  </w:style>
  <w:style w:type="character" w:customStyle="1" w:styleId="10">
    <w:name w:val="0正文 Char"/>
    <w:link w:val="11"/>
    <w:qFormat/>
    <w:uiPriority w:val="0"/>
    <w:rPr>
      <w:rFonts w:ascii="Verdana" w:hAnsi="Verdana"/>
      <w:sz w:val="24"/>
      <w:szCs w:val="24"/>
    </w:rPr>
  </w:style>
  <w:style w:type="paragraph" w:customStyle="1" w:styleId="11">
    <w:name w:val="0正文"/>
    <w:basedOn w:val="1"/>
    <w:link w:val="10"/>
    <w:qFormat/>
    <w:uiPriority w:val="0"/>
    <w:pPr>
      <w:adjustRightInd w:val="0"/>
      <w:snapToGrid/>
      <w:ind w:firstLine="480" w:firstLineChars="200"/>
      <w:textAlignment w:val="baseline"/>
    </w:pPr>
    <w:rPr>
      <w:rFonts w:ascii="Verdana" w:hAnsi="Verdana" w:eastAsiaTheme="minorEastAsia" w:cstheme="minorBidi"/>
      <w:szCs w:val="24"/>
    </w:rPr>
  </w:style>
  <w:style w:type="character" w:customStyle="1" w:styleId="12">
    <w:name w:val="列出段落 字符"/>
    <w:link w:val="13"/>
    <w:qFormat/>
    <w:uiPriority w:val="34"/>
    <w:rPr>
      <w:rFonts w:cs="Times New Roman"/>
      <w:sz w:val="24"/>
    </w:rPr>
  </w:style>
  <w:style w:type="paragraph" w:styleId="13">
    <w:name w:val="List Paragraph"/>
    <w:basedOn w:val="1"/>
    <w:link w:val="12"/>
    <w:qFormat/>
    <w:uiPriority w:val="34"/>
    <w:pPr>
      <w:ind w:firstLine="420" w:firstLineChars="200"/>
    </w:pPr>
    <w:rPr>
      <w:rFonts w:asciiTheme="minorHAnsi" w:hAnsiTheme="minorHAnsi" w:eastAsiaTheme="minorEastAsi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148</Words>
  <Characters>848</Characters>
  <Lines>7</Lines>
  <Paragraphs>1</Paragraphs>
  <TotalTime>6</TotalTime>
  <ScaleCrop>false</ScaleCrop>
  <LinksUpToDate>false</LinksUpToDate>
  <CharactersWithSpaces>995</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2020-04-21T08:03:00Z</dcterms:created>
  <dc:creator>Administrator</dc:creator>
  <cp:lastModifiedBy>姚</cp:lastModifiedBy>
  <dcterms:modified xsi:type="dcterms:W3CDTF">2022-05-16T01:24:11Z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